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A2" w:rsidRPr="00FB06A2" w:rsidRDefault="00A05AF1" w:rsidP="00BE7AF5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FB06A2">
        <w:rPr>
          <w:rFonts w:ascii="Times New Roman" w:eastAsia="华文中宋" w:hAnsi="Times New Roman" w:cs="Times New Roman"/>
          <w:sz w:val="44"/>
          <w:szCs w:val="44"/>
        </w:rPr>
        <w:t>苏州市社会科学基金项目</w:t>
      </w:r>
    </w:p>
    <w:p w:rsidR="003E1732" w:rsidRPr="00FB06A2" w:rsidRDefault="00A05AF1" w:rsidP="00BE7AF5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FB06A2">
        <w:rPr>
          <w:rFonts w:ascii="Times New Roman" w:eastAsia="华文中宋" w:hAnsi="Times New Roman" w:cs="Times New Roman"/>
          <w:sz w:val="44"/>
          <w:szCs w:val="44"/>
        </w:rPr>
        <w:t>2019</w:t>
      </w:r>
      <w:r w:rsidRPr="00FB06A2">
        <w:rPr>
          <w:rFonts w:ascii="Times New Roman" w:eastAsia="华文中宋" w:hAnsi="Times New Roman" w:cs="Times New Roman"/>
          <w:sz w:val="44"/>
          <w:szCs w:val="44"/>
        </w:rPr>
        <w:t>年度课题指南</w:t>
      </w:r>
    </w:p>
    <w:p w:rsidR="00FB06A2" w:rsidRPr="00FB06A2" w:rsidRDefault="00FB06A2" w:rsidP="00BE7AF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E72707" w:rsidRPr="00FB06A2" w:rsidRDefault="00E72707" w:rsidP="00BE7AF5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929D8" w:rsidRDefault="00D62738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苏州贯彻落</w:t>
      </w:r>
      <w:proofErr w:type="gramStart"/>
      <w:r w:rsidR="008929D8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="008929D8">
        <w:rPr>
          <w:rFonts w:ascii="Times New Roman" w:eastAsia="仿宋_GB2312" w:hAnsi="Times New Roman" w:cs="Times New Roman"/>
          <w:sz w:val="32"/>
          <w:szCs w:val="32"/>
        </w:rPr>
        <w:t>平新时代中国特色社会主义思想、勇当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“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两个标杆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”</w:t>
      </w:r>
      <w:r w:rsidR="00287F8F">
        <w:rPr>
          <w:rFonts w:ascii="Times New Roman" w:eastAsia="仿宋_GB2312" w:hAnsi="Times New Roman" w:cs="Times New Roman"/>
          <w:sz w:val="32"/>
          <w:szCs w:val="32"/>
        </w:rPr>
        <w:t>的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实践经验</w:t>
      </w:r>
      <w:r w:rsidR="00287F8F">
        <w:rPr>
          <w:rFonts w:ascii="Times New Roman" w:eastAsia="仿宋_GB2312" w:hAnsi="Times New Roman" w:cs="Times New Roman"/>
          <w:sz w:val="32"/>
          <w:szCs w:val="32"/>
        </w:rPr>
        <w:t>、差距不足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与</w:t>
      </w:r>
      <w:r w:rsidR="00287F8F">
        <w:rPr>
          <w:rFonts w:ascii="Times New Roman" w:eastAsia="仿宋_GB2312" w:hAnsi="Times New Roman" w:cs="Times New Roman"/>
          <w:sz w:val="32"/>
          <w:szCs w:val="32"/>
        </w:rPr>
        <w:t>路径选择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62738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D6273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929D8">
        <w:rPr>
          <w:rFonts w:ascii="Times New Roman" w:eastAsia="仿宋_GB2312" w:hAnsi="Times New Roman" w:cs="Times New Roman"/>
          <w:sz w:val="32"/>
          <w:szCs w:val="32"/>
        </w:rPr>
        <w:t>苏州全面建成小康社会成就、经验以及对高质量发展的启示。</w:t>
      </w:r>
    </w:p>
    <w:p w:rsidR="00E72707" w:rsidRDefault="00287F8F" w:rsidP="00BE7AF5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6273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F342A">
        <w:rPr>
          <w:rFonts w:ascii="Times New Roman" w:eastAsia="仿宋_GB2312" w:hAnsi="Times New Roman" w:cs="Times New Roman"/>
          <w:sz w:val="32"/>
          <w:szCs w:val="32"/>
        </w:rPr>
        <w:t>苏州抢抓长三角一体化上升为国家战略</w:t>
      </w:r>
      <w:r>
        <w:rPr>
          <w:rFonts w:ascii="Times New Roman" w:eastAsia="仿宋_GB2312" w:hAnsi="Times New Roman" w:cs="Times New Roman"/>
          <w:sz w:val="32"/>
          <w:szCs w:val="32"/>
        </w:rPr>
        <w:t>重要</w:t>
      </w:r>
      <w:r w:rsidR="007F342A">
        <w:rPr>
          <w:rFonts w:ascii="Times New Roman" w:eastAsia="仿宋_GB2312" w:hAnsi="Times New Roman" w:cs="Times New Roman"/>
          <w:sz w:val="32"/>
          <w:szCs w:val="32"/>
        </w:rPr>
        <w:t>机遇，全面融入长三角一体化的功能定位</w:t>
      </w:r>
      <w:r w:rsidR="00D62738">
        <w:rPr>
          <w:rFonts w:ascii="Times New Roman" w:eastAsia="仿宋_GB2312" w:hAnsi="Times New Roman" w:cs="Times New Roman"/>
          <w:sz w:val="32"/>
          <w:szCs w:val="32"/>
        </w:rPr>
        <w:t>、政策举措与对策建议。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苏州提升城市能级和核心竞争力的目标定位、制约因素和实现路径。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、苏州在苏锡常都市圈建设中的功能定位及</w:t>
      </w:r>
      <w:r w:rsidR="001F4A33">
        <w:rPr>
          <w:rFonts w:ascii="Times New Roman" w:eastAsia="仿宋_GB2312" w:hAnsi="Times New Roman" w:cs="Times New Roman" w:hint="eastAsia"/>
          <w:sz w:val="32"/>
          <w:szCs w:val="32"/>
        </w:rPr>
        <w:t>对策举措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、苏州文化在江南文化中的历史地位、核心价值及当下作为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3D25" w:rsidRPr="00183D25" w:rsidRDefault="00183D25" w:rsidP="00BE7AF5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、苏州加强自主可控现代产业体系建设的内涵、现状及对策举措。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、苏州创新生态的现状、存在问题与对策</w:t>
      </w:r>
      <w:r w:rsidR="001F4A33">
        <w:rPr>
          <w:rFonts w:ascii="Times New Roman" w:eastAsia="仿宋_GB2312" w:hAnsi="Times New Roman" w:cs="Times New Roman" w:hint="eastAsia"/>
          <w:sz w:val="32"/>
          <w:szCs w:val="32"/>
        </w:rPr>
        <w:t>举措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、苏州抢抓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5G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应用机遇、推动经济转型升级的着力点及对策举措。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、苏州壮大创新型企业集群的路径、政策与举</w:t>
      </w:r>
      <w:bookmarkStart w:id="0" w:name="_GoBack"/>
      <w:bookmarkEnd w:id="0"/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措。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、苏州打造先导产业创新集聚区的</w:t>
      </w:r>
      <w:r w:rsidR="001F4A33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策与举措。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、苏州加快培育本土“标杆型”企业的经验借鉴、有效路径及创新举措。</w:t>
      </w:r>
    </w:p>
    <w:p w:rsidR="00183D25" w:rsidRP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、苏州加快构建国际化人才高地的思路与举措。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14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、苏州深化“放管服”改革、构建一流营商环境的对策建议。</w:t>
      </w:r>
    </w:p>
    <w:p w:rsidR="00D62738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="00D62738">
        <w:rPr>
          <w:rFonts w:ascii="Times New Roman" w:eastAsia="仿宋_GB2312" w:hAnsi="Times New Roman" w:cs="Times New Roman"/>
          <w:sz w:val="32"/>
          <w:szCs w:val="32"/>
        </w:rPr>
        <w:t>、苏州防范和化解金融风险</w:t>
      </w:r>
      <w:r w:rsidR="001F4A33"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现状</w:t>
      </w:r>
      <w:r w:rsidR="00183D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D62738">
        <w:rPr>
          <w:rFonts w:ascii="Times New Roman" w:eastAsia="仿宋_GB2312" w:hAnsi="Times New Roman" w:cs="Times New Roman"/>
          <w:sz w:val="32"/>
          <w:szCs w:val="32"/>
        </w:rPr>
        <w:t>存在问题与对策举措。</w:t>
      </w:r>
    </w:p>
    <w:p w:rsidR="00D62738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16</w:t>
      </w:r>
      <w:r w:rsidR="00D62738">
        <w:rPr>
          <w:rFonts w:ascii="Times New Roman" w:eastAsia="仿宋_GB2312" w:hAnsi="Times New Roman" w:cs="Times New Roman" w:hint="eastAsia"/>
          <w:sz w:val="32"/>
          <w:szCs w:val="32"/>
        </w:rPr>
        <w:t>、苏州提升金融服务实体</w:t>
      </w:r>
      <w:r w:rsidR="00183D25">
        <w:rPr>
          <w:rFonts w:ascii="Times New Roman" w:eastAsia="仿宋_GB2312" w:hAnsi="Times New Roman" w:cs="Times New Roman" w:hint="eastAsia"/>
          <w:sz w:val="32"/>
          <w:szCs w:val="32"/>
        </w:rPr>
        <w:t>经济水平</w:t>
      </w:r>
      <w:r w:rsidR="00D62738">
        <w:rPr>
          <w:rFonts w:ascii="Times New Roman" w:eastAsia="仿宋_GB2312" w:hAnsi="Times New Roman" w:cs="Times New Roman" w:hint="eastAsia"/>
          <w:sz w:val="32"/>
          <w:szCs w:val="32"/>
        </w:rPr>
        <w:t>的政策建议。</w:t>
      </w:r>
    </w:p>
    <w:p w:rsidR="00D62738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D62738">
        <w:rPr>
          <w:rFonts w:ascii="Times New Roman" w:eastAsia="仿宋_GB2312" w:hAnsi="Times New Roman" w:cs="Times New Roman" w:hint="eastAsia"/>
          <w:sz w:val="32"/>
          <w:szCs w:val="32"/>
        </w:rPr>
        <w:t>、苏州构建房地产市场平稳健康发展</w:t>
      </w:r>
      <w:r w:rsidR="00183D2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长效机制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对策</w:t>
      </w:r>
      <w:r w:rsidR="00183D25"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、苏州</w:t>
      </w:r>
      <w:r w:rsidR="003F7AF0">
        <w:rPr>
          <w:rFonts w:ascii="Times New Roman" w:eastAsia="仿宋_GB2312" w:hAnsi="Times New Roman" w:cs="Times New Roman" w:hint="eastAsia"/>
          <w:sz w:val="32"/>
          <w:szCs w:val="32"/>
        </w:rPr>
        <w:t>推进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“一带一路”交汇点建设的对策举措。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、苏州加快城乡融合发展、推动乡村振兴的突破口和创新举措。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E81781">
        <w:rPr>
          <w:rFonts w:ascii="Times New Roman" w:eastAsia="仿宋_GB2312" w:hAnsi="Times New Roman" w:cs="Times New Roman"/>
          <w:sz w:val="32"/>
          <w:szCs w:val="32"/>
        </w:rPr>
        <w:t>、苏州加强乡村规划的总体思路、主要原则及实施路径。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、苏州提升城市公共服务水准的目标、</w:t>
      </w:r>
      <w:r w:rsidR="001F4A33">
        <w:rPr>
          <w:rFonts w:ascii="Times New Roman" w:eastAsia="仿宋_GB2312" w:hAnsi="Times New Roman" w:cs="Times New Roman" w:hint="eastAsia"/>
          <w:sz w:val="32"/>
          <w:szCs w:val="32"/>
        </w:rPr>
        <w:t>目前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差距</w:t>
      </w:r>
      <w:r w:rsidR="001F4A33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对策建议。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22</w:t>
      </w:r>
      <w:r w:rsidR="00E81781">
        <w:rPr>
          <w:rFonts w:ascii="Times New Roman" w:eastAsia="仿宋_GB2312" w:hAnsi="Times New Roman" w:cs="Times New Roman"/>
          <w:sz w:val="32"/>
          <w:szCs w:val="32"/>
        </w:rPr>
        <w:t>、苏州推广生活垃圾分类处置的路径与对策。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23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、苏州推动建立环太湖跨区域生态补偿机制的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思考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、苏州民营经济发展的现状、问题与对策。</w:t>
      </w:r>
    </w:p>
    <w:p w:rsidR="00E81781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</w:t>
      </w:r>
      <w:r w:rsidR="00E817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D6F94">
        <w:rPr>
          <w:rFonts w:ascii="Times New Roman" w:eastAsia="仿宋_GB2312" w:hAnsi="Times New Roman" w:cs="Times New Roman" w:hint="eastAsia"/>
          <w:sz w:val="32"/>
          <w:szCs w:val="32"/>
        </w:rPr>
        <w:t>苏州提升国家历史文化名城保护示范区建设水平的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指导思想、</w:t>
      </w:r>
      <w:r w:rsidR="001D6F94">
        <w:rPr>
          <w:rFonts w:ascii="Times New Roman" w:eastAsia="仿宋_GB2312" w:hAnsi="Times New Roman" w:cs="Times New Roman" w:hint="eastAsia"/>
          <w:sz w:val="32"/>
          <w:szCs w:val="32"/>
        </w:rPr>
        <w:t>制约因素及对策举措。</w:t>
      </w:r>
    </w:p>
    <w:p w:rsidR="00183D25" w:rsidRDefault="00287F8F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26</w:t>
      </w:r>
      <w:r w:rsidR="001D6F94">
        <w:rPr>
          <w:rFonts w:ascii="Times New Roman" w:eastAsia="仿宋_GB2312" w:hAnsi="Times New Roman" w:cs="Times New Roman" w:hint="eastAsia"/>
          <w:sz w:val="32"/>
          <w:szCs w:val="32"/>
        </w:rPr>
        <w:t>、把大运河苏州段打造成大运河文化带“最精彩一段”的思路与举措。</w:t>
      </w:r>
    </w:p>
    <w:p w:rsidR="001D6F94" w:rsidRDefault="00183D25" w:rsidP="00BE7A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183D25">
        <w:rPr>
          <w:rFonts w:ascii="Times New Roman" w:eastAsia="仿宋_GB2312" w:hAnsi="Times New Roman" w:cs="Times New Roman" w:hint="eastAsia"/>
          <w:sz w:val="32"/>
          <w:szCs w:val="32"/>
        </w:rPr>
        <w:t>、苏州以“绣花”功夫抓好城市管理的薄弱环节及对策举措。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、苏州全力打响“苏州文化”品牌、提升文化国际影响力的对策举措。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、新时代“苏州精神”的应有内涵、特征及培育路径。</w:t>
      </w:r>
    </w:p>
    <w:p w:rsidR="00183D25" w:rsidRDefault="00183D25" w:rsidP="00183D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、苏州进一步激发干部担当作为的政策措施。</w:t>
      </w:r>
    </w:p>
    <w:sectPr w:rsidR="00183D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91" w:rsidRDefault="001D1F91" w:rsidP="00BF1B10">
      <w:r>
        <w:separator/>
      </w:r>
    </w:p>
  </w:endnote>
  <w:endnote w:type="continuationSeparator" w:id="0">
    <w:p w:rsidR="001D1F91" w:rsidRDefault="001D1F91" w:rsidP="00BF1B10">
      <w:r>
        <w:continuationSeparator/>
      </w:r>
    </w:p>
  </w:endnote>
  <w:endnote w:type="continuationNotice" w:id="1">
    <w:p w:rsidR="001D1F91" w:rsidRDefault="001D1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102594"/>
      <w:docPartObj>
        <w:docPartGallery w:val="Page Numbers (Bottom of Page)"/>
        <w:docPartUnique/>
      </w:docPartObj>
    </w:sdtPr>
    <w:sdtEndPr/>
    <w:sdtContent>
      <w:p w:rsidR="00BE7AF5" w:rsidRDefault="00BE7A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C5" w:rsidRPr="00F04EC5">
          <w:rPr>
            <w:noProof/>
            <w:lang w:val="zh-CN"/>
          </w:rPr>
          <w:t>2</w:t>
        </w:r>
        <w:r>
          <w:fldChar w:fldCharType="end"/>
        </w:r>
      </w:p>
    </w:sdtContent>
  </w:sdt>
  <w:p w:rsidR="00BF1B10" w:rsidRDefault="00BF1B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91" w:rsidRDefault="001D1F91" w:rsidP="00BF1B10">
      <w:r>
        <w:separator/>
      </w:r>
    </w:p>
  </w:footnote>
  <w:footnote w:type="continuationSeparator" w:id="0">
    <w:p w:rsidR="001D1F91" w:rsidRDefault="001D1F91" w:rsidP="00BF1B10">
      <w:r>
        <w:continuationSeparator/>
      </w:r>
    </w:p>
  </w:footnote>
  <w:footnote w:type="continuationNotice" w:id="1">
    <w:p w:rsidR="001D1F91" w:rsidRDefault="001D1F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A7"/>
    <w:rsid w:val="00037A2B"/>
    <w:rsid w:val="00050586"/>
    <w:rsid w:val="0008094A"/>
    <w:rsid w:val="00085D75"/>
    <w:rsid w:val="000C5664"/>
    <w:rsid w:val="000E1686"/>
    <w:rsid w:val="00103FAB"/>
    <w:rsid w:val="00162B58"/>
    <w:rsid w:val="0017358C"/>
    <w:rsid w:val="00183D25"/>
    <w:rsid w:val="00197E36"/>
    <w:rsid w:val="001B159E"/>
    <w:rsid w:val="001C06AD"/>
    <w:rsid w:val="001C72B4"/>
    <w:rsid w:val="001D1F91"/>
    <w:rsid w:val="001D6F94"/>
    <w:rsid w:val="001F4A33"/>
    <w:rsid w:val="002306AB"/>
    <w:rsid w:val="00287F8F"/>
    <w:rsid w:val="002B1BA7"/>
    <w:rsid w:val="002B2ACD"/>
    <w:rsid w:val="00301F66"/>
    <w:rsid w:val="00336199"/>
    <w:rsid w:val="00357290"/>
    <w:rsid w:val="00371DAB"/>
    <w:rsid w:val="003E1732"/>
    <w:rsid w:val="003F4139"/>
    <w:rsid w:val="003F7AF0"/>
    <w:rsid w:val="0040361F"/>
    <w:rsid w:val="00474C9E"/>
    <w:rsid w:val="0049714D"/>
    <w:rsid w:val="004F4A9F"/>
    <w:rsid w:val="00507756"/>
    <w:rsid w:val="005252EB"/>
    <w:rsid w:val="00551597"/>
    <w:rsid w:val="00656429"/>
    <w:rsid w:val="00671F1F"/>
    <w:rsid w:val="0067517D"/>
    <w:rsid w:val="00677FF0"/>
    <w:rsid w:val="006A65E1"/>
    <w:rsid w:val="006B0887"/>
    <w:rsid w:val="006C53A6"/>
    <w:rsid w:val="006F18FE"/>
    <w:rsid w:val="00726358"/>
    <w:rsid w:val="00792B6C"/>
    <w:rsid w:val="007C189D"/>
    <w:rsid w:val="007D1ED7"/>
    <w:rsid w:val="007E5A7D"/>
    <w:rsid w:val="007F242D"/>
    <w:rsid w:val="007F342A"/>
    <w:rsid w:val="00827374"/>
    <w:rsid w:val="00861C3E"/>
    <w:rsid w:val="00867CE0"/>
    <w:rsid w:val="00872BDF"/>
    <w:rsid w:val="00884147"/>
    <w:rsid w:val="008929D8"/>
    <w:rsid w:val="008C0E86"/>
    <w:rsid w:val="008E7575"/>
    <w:rsid w:val="008F52AD"/>
    <w:rsid w:val="00912E92"/>
    <w:rsid w:val="00914B57"/>
    <w:rsid w:val="00931187"/>
    <w:rsid w:val="0095224C"/>
    <w:rsid w:val="00953D56"/>
    <w:rsid w:val="009609AE"/>
    <w:rsid w:val="00961357"/>
    <w:rsid w:val="009B6582"/>
    <w:rsid w:val="00A05AF1"/>
    <w:rsid w:val="00A24891"/>
    <w:rsid w:val="00A4471F"/>
    <w:rsid w:val="00A852A1"/>
    <w:rsid w:val="00AA4980"/>
    <w:rsid w:val="00AB60B2"/>
    <w:rsid w:val="00AD6CBC"/>
    <w:rsid w:val="00AF1ED5"/>
    <w:rsid w:val="00B00A19"/>
    <w:rsid w:val="00B11965"/>
    <w:rsid w:val="00B178B3"/>
    <w:rsid w:val="00B71FDD"/>
    <w:rsid w:val="00B72CED"/>
    <w:rsid w:val="00B93690"/>
    <w:rsid w:val="00BC6A6E"/>
    <w:rsid w:val="00BE4FE3"/>
    <w:rsid w:val="00BE7AF5"/>
    <w:rsid w:val="00BF1B10"/>
    <w:rsid w:val="00BF7B35"/>
    <w:rsid w:val="00C17754"/>
    <w:rsid w:val="00C67E8C"/>
    <w:rsid w:val="00C725D3"/>
    <w:rsid w:val="00CA7E7D"/>
    <w:rsid w:val="00D05772"/>
    <w:rsid w:val="00D14E57"/>
    <w:rsid w:val="00D34290"/>
    <w:rsid w:val="00D34765"/>
    <w:rsid w:val="00D5546C"/>
    <w:rsid w:val="00D56063"/>
    <w:rsid w:val="00D62738"/>
    <w:rsid w:val="00D81D7E"/>
    <w:rsid w:val="00E511F8"/>
    <w:rsid w:val="00E72707"/>
    <w:rsid w:val="00E81781"/>
    <w:rsid w:val="00ED5D23"/>
    <w:rsid w:val="00EF3AC5"/>
    <w:rsid w:val="00F04EC5"/>
    <w:rsid w:val="00F05150"/>
    <w:rsid w:val="00F11089"/>
    <w:rsid w:val="00F21CD9"/>
    <w:rsid w:val="00F2341F"/>
    <w:rsid w:val="00F42A65"/>
    <w:rsid w:val="00F450F2"/>
    <w:rsid w:val="00F82CC2"/>
    <w:rsid w:val="00FB06A2"/>
    <w:rsid w:val="00FB08BF"/>
    <w:rsid w:val="00FC2152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E764CF-44EF-4881-8E3E-8B42873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1B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1B10"/>
    <w:rPr>
      <w:sz w:val="18"/>
      <w:szCs w:val="18"/>
    </w:rPr>
  </w:style>
  <w:style w:type="paragraph" w:styleId="a6">
    <w:name w:val="Revision"/>
    <w:hidden/>
    <w:uiPriority w:val="99"/>
    <w:semiHidden/>
    <w:rsid w:val="00D62738"/>
  </w:style>
  <w:style w:type="paragraph" w:styleId="a7">
    <w:name w:val="Balloon Text"/>
    <w:basedOn w:val="a"/>
    <w:link w:val="Char1"/>
    <w:uiPriority w:val="99"/>
    <w:semiHidden/>
    <w:unhideWhenUsed/>
    <w:rsid w:val="00D627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2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A8E3-8368-455A-AC10-0BE4CDCAB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5B951-1818-4F70-A893-D9E561D7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LiJT</dc:creator>
  <cp:keywords/>
  <dc:description/>
  <cp:lastModifiedBy>Lenovo</cp:lastModifiedBy>
  <cp:revision>8</cp:revision>
  <cp:lastPrinted>2019-03-04T01:57:00Z</cp:lastPrinted>
  <dcterms:created xsi:type="dcterms:W3CDTF">2019-02-18T08:05:00Z</dcterms:created>
  <dcterms:modified xsi:type="dcterms:W3CDTF">2019-04-02T08:21:00Z</dcterms:modified>
</cp:coreProperties>
</file>