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hint="eastAsia" w:eastAsia="黑体"/>
          <w:snapToGrid w:val="0"/>
          <w:kern w:val="0"/>
          <w:szCs w:val="32"/>
        </w:rPr>
      </w:pPr>
      <w:r>
        <w:rPr>
          <w:rFonts w:hint="eastAsia" w:hAnsi="黑体" w:eastAsia="黑体"/>
          <w:snapToGrid w:val="0"/>
          <w:kern w:val="0"/>
          <w:szCs w:val="32"/>
        </w:rPr>
        <w:t>附件</w:t>
      </w:r>
      <w:r>
        <w:rPr>
          <w:rFonts w:hint="eastAsia" w:eastAsia="黑体"/>
          <w:snapToGrid w:val="0"/>
          <w:kern w:val="0"/>
          <w:szCs w:val="32"/>
        </w:rPr>
        <w:t>1</w:t>
      </w:r>
    </w:p>
    <w:p>
      <w:pPr>
        <w:overflowPunct w:val="0"/>
        <w:adjustRightInd w:val="0"/>
        <w:snapToGrid w:val="0"/>
        <w:spacing w:before="100" w:beforeAutospacing="1" w:line="580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bookmarkStart w:id="0" w:name="_GoBack"/>
      <w:r>
        <w:rPr>
          <w:rFonts w:hint="eastAsia" w:eastAsia="方正小标宋简体"/>
          <w:snapToGrid w:val="0"/>
          <w:sz w:val="44"/>
          <w:szCs w:val="44"/>
        </w:rPr>
        <w:t>202</w:t>
      </w:r>
      <w:r>
        <w:rPr>
          <w:rFonts w:hint="eastAsia" w:eastAsia="方正小标宋简体"/>
          <w:snapToGrid w:val="0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snapToGrid w:val="0"/>
          <w:sz w:val="44"/>
          <w:szCs w:val="44"/>
        </w:rPr>
        <w:t>年度苏州市社会科学基金项目</w:t>
      </w:r>
    </w:p>
    <w:p>
      <w:pPr>
        <w:overflowPunct w:val="0"/>
        <w:adjustRightInd w:val="0"/>
        <w:snapToGrid w:val="0"/>
        <w:spacing w:after="100" w:afterAutospacing="1" w:line="580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（《苏州</w:t>
      </w:r>
      <w:r>
        <w:rPr>
          <w:rFonts w:hint="eastAsia" w:eastAsia="方正小标宋简体"/>
          <w:snapToGrid w:val="0"/>
          <w:sz w:val="44"/>
          <w:szCs w:val="44"/>
          <w:lang w:val="en-US" w:eastAsia="zh-CN"/>
        </w:rPr>
        <w:t>经济社会</w:t>
      </w:r>
      <w:r>
        <w:rPr>
          <w:rFonts w:hint="eastAsia" w:eastAsia="方正小标宋简体"/>
          <w:snapToGrid w:val="0"/>
          <w:sz w:val="44"/>
          <w:szCs w:val="44"/>
        </w:rPr>
        <w:t>发展蓝皮书</w:t>
      </w:r>
      <w:r>
        <w:rPr>
          <w:rFonts w:hint="eastAsia" w:eastAsia="方正小标宋简体"/>
          <w:snapToGrid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snapToGrid w:val="0"/>
          <w:sz w:val="44"/>
          <w:szCs w:val="44"/>
        </w:rPr>
        <w:t>202</w:t>
      </w:r>
      <w:r>
        <w:rPr>
          <w:rFonts w:hint="eastAsia" w:eastAsia="方正小标宋简体"/>
          <w:snapToGrid w:val="0"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snapToGrid w:val="0"/>
          <w:sz w:val="44"/>
          <w:szCs w:val="44"/>
          <w:lang w:eastAsia="zh-CN"/>
        </w:rPr>
        <w:t>）</w:t>
      </w:r>
      <w:r>
        <w:rPr>
          <w:rFonts w:hint="eastAsia" w:eastAsia="方正小标宋简体"/>
          <w:snapToGrid w:val="0"/>
          <w:sz w:val="44"/>
          <w:szCs w:val="44"/>
        </w:rPr>
        <w:t>》编撰专项研究类）立项项目名单</w:t>
      </w:r>
    </w:p>
    <w:bookmarkEnd w:id="0"/>
    <w:tbl>
      <w:tblPr>
        <w:tblStyle w:val="6"/>
        <w:tblW w:w="507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3893"/>
        <w:gridCol w:w="1583"/>
        <w:gridCol w:w="19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bCs/>
                <w:snapToGrid w:val="0"/>
                <w:kern w:val="0"/>
                <w:sz w:val="21"/>
                <w:szCs w:val="21"/>
              </w:rPr>
              <w:t>编</w:t>
            </w:r>
            <w:r>
              <w:rPr>
                <w:rFonts w:hint="eastAsia" w:eastAsia="黑体"/>
                <w:bCs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黑体" w:eastAsia="黑体"/>
                <w:bCs/>
                <w:snapToGrid w:val="0"/>
                <w:kern w:val="0"/>
                <w:sz w:val="21"/>
                <w:szCs w:val="21"/>
              </w:rPr>
              <w:t>号</w:t>
            </w:r>
          </w:p>
        </w:tc>
        <w:tc>
          <w:tcPr>
            <w:tcW w:w="3893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bCs/>
                <w:snapToGrid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83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bCs/>
                <w:snapToGrid w:val="0"/>
                <w:kern w:val="0"/>
                <w:sz w:val="21"/>
                <w:szCs w:val="21"/>
              </w:rPr>
              <w:t>课题负责人</w:t>
            </w:r>
          </w:p>
        </w:tc>
        <w:tc>
          <w:tcPr>
            <w:tcW w:w="1917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bCs/>
                <w:snapToGrid w:val="0"/>
                <w:kern w:val="0"/>
                <w:sz w:val="21"/>
                <w:szCs w:val="21"/>
              </w:rPr>
              <w:t>推荐单位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LPS2024LX001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苏州工业发展形势与展望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葛宇昊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苏州市发展规划研究院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LPS2024LX002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苏州农业发展形势与展望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何  兵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江苏苏州干部学院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LPS2024LX003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苏州服务业发展形势与展望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尚正永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苏州科技大学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LPS2024LX004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苏州开放型经济发展形势与展望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屠立峰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LPS2024LX005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苏州低空经济发展分析与展望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李  兵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苏州智库联盟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LPS2024LX006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苏州数字经济发展分析与展望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黄庆华，楼佳骊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苏州新智观科技服务有限公司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LPS2024LX007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苏州科技创新分析与展望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刘峻峰，王世文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苏州科技大学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LPS2024LX008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苏州走共同富裕的乡村振兴道路实践分析与展望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苏澄菲，沈明星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江苏苏州干部学院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LPS2024LX009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苏州传统村落集中连片保护利用分析与展望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李静会，刘  铭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中共苏州市委党校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LPS2024LX010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苏州旅游业发展分析与展望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石庆龄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苏州市发展和改革委员会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LPS2024LX011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苏州更好发挥区域发展辐射带动作用分析与展望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张春昕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苏州工业园区城市发展研究院有限公司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LPS2024LX012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苏州人文经济学研究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现状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分析与展望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祝  嘉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LPS2024LX013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苏州历史文化名城保护分析与展望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殷  铭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苏州古城投资建设有限公司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LPS2024LX014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苏州长江文化建设现状分析与展望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陈  璇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苏州市职业大学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LPS2024LX015</w:t>
            </w:r>
          </w:p>
        </w:tc>
        <w:tc>
          <w:tcPr>
            <w:tcW w:w="3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全民阅读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”现状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分析与展望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李  晶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</w:tr>
    </w:tbl>
    <w:p>
      <w:r>
        <w:rPr>
          <w:rFonts w:hint="eastAsia" w:eastAsia="黑体"/>
          <w:snapToGrid w:val="0"/>
          <w:kern w:val="0"/>
          <w:szCs w:val="32"/>
        </w:rPr>
        <w:br w:type="page"/>
      </w:r>
    </w:p>
    <w:sectPr>
      <w:pgSz w:w="11906" w:h="16838"/>
      <w:pgMar w:top="2041" w:right="1559" w:bottom="1928" w:left="15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550A"/>
    <w:rsid w:val="00353F9C"/>
    <w:rsid w:val="039A0A27"/>
    <w:rsid w:val="07060142"/>
    <w:rsid w:val="07912196"/>
    <w:rsid w:val="0882322F"/>
    <w:rsid w:val="098C0CD2"/>
    <w:rsid w:val="0AA70526"/>
    <w:rsid w:val="19771A54"/>
    <w:rsid w:val="1A555AAB"/>
    <w:rsid w:val="1BD723D6"/>
    <w:rsid w:val="217649F2"/>
    <w:rsid w:val="2F653D5F"/>
    <w:rsid w:val="325C51D6"/>
    <w:rsid w:val="396D6D0A"/>
    <w:rsid w:val="39DF2862"/>
    <w:rsid w:val="3A5C6261"/>
    <w:rsid w:val="3D203DC1"/>
    <w:rsid w:val="41CE7B35"/>
    <w:rsid w:val="46130905"/>
    <w:rsid w:val="46610AB7"/>
    <w:rsid w:val="4CF17E87"/>
    <w:rsid w:val="4FD00EF9"/>
    <w:rsid w:val="5B6C3DB3"/>
    <w:rsid w:val="63527CDD"/>
    <w:rsid w:val="65B323B6"/>
    <w:rsid w:val="65BE768C"/>
    <w:rsid w:val="70D63069"/>
    <w:rsid w:val="73A3550A"/>
    <w:rsid w:val="74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firstLine="0" w:firstLineChars="0"/>
      <w:jc w:val="left"/>
      <w:outlineLvl w:val="0"/>
    </w:pPr>
    <w:rPr>
      <w:rFonts w:ascii="Times New Roman" w:hAnsi="Times New Roman" w:eastAsia="黑体" w:cs="黑体"/>
      <w:b w:val="0"/>
      <w:kern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Lines w:val="0"/>
      <w:spacing w:line="580" w:lineRule="exact"/>
      <w:ind w:firstLine="800" w:firstLineChars="200"/>
      <w:outlineLvl w:val="1"/>
    </w:pPr>
    <w:rPr>
      <w:rFonts w:ascii="Times New Roman" w:hAnsi="Times New Roman" w:eastAsia="楷体_GB2312" w:cs="楷体_GB2312"/>
      <w:spacing w:val="-6"/>
      <w:szCs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0"/>
    <w:rPr>
      <w:rFonts w:ascii="Times New Roman" w:hAnsi="Times New Roman" w:eastAsia="仿宋_GB2312" w:cs="仿宋_GB2312"/>
      <w:b/>
      <w:spacing w:val="-6"/>
      <w:sz w:val="32"/>
      <w:szCs w:val="32"/>
    </w:rPr>
  </w:style>
  <w:style w:type="character" w:customStyle="1" w:styleId="9">
    <w:name w:val="标题 2 Char"/>
    <w:link w:val="4"/>
    <w:autoRedefine/>
    <w:qFormat/>
    <w:uiPriority w:val="0"/>
    <w:rPr>
      <w:rFonts w:ascii="Times New Roman" w:hAnsi="Times New Roman" w:eastAsia="楷体_GB2312" w:cs="楷体_GB2312"/>
      <w:spacing w:val="-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2024-09-05T08:34:00Z</dcterms:created>
  <dc:creator>诗雨 Sarah</dc:creator>
  <cp:lastModifiedBy>诗雨 Sarah</cp:lastModifiedBy>
  <dcterms:modified xsi:type="dcterms:W3CDTF">2024-09-05T08:35:45Z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2052-12.8.2.16981</vt:lpwstr>
  </property>
  <property fmtid="{D5CDD505-2E9C-101B-9397-08002B2CF9AE}" pid="3" name="ICV">
    <vt:lpwstr>7FABF278FDA64F158FB6E95F88183024_11</vt:lpwstr>
  </property>
</Properties>
</file>